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DBEE3" w14:textId="77777777" w:rsidR="00B03043" w:rsidRDefault="00D076B2" w:rsidP="00B03043">
      <w:pPr>
        <w:pBdr>
          <w:bottom w:val="double" w:sz="2" w:space="1" w:color="808080"/>
        </w:pBdr>
        <w:spacing w:after="0" w:line="240" w:lineRule="auto"/>
        <w:rPr>
          <w:color w:val="0043A5"/>
          <w:sz w:val="36"/>
          <w:lang w:val="en-US"/>
        </w:rPr>
      </w:pPr>
      <w:r>
        <w:rPr>
          <w:noProof/>
          <w:lang w:eastAsia="fr-FR"/>
        </w:rPr>
        <w:drawing>
          <wp:inline distT="0" distB="0" distL="0" distR="0" wp14:anchorId="6F03EC44" wp14:editId="048BDCE0">
            <wp:extent cx="2496820" cy="516890"/>
            <wp:effectExtent l="0" t="0" r="0" b="0"/>
            <wp:docPr id="1" name="Image 1" descr="logo_univ_gustave_eiffel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univ_gustave_eiffel_rv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82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0E0A2" w14:textId="77777777" w:rsidR="00B03043" w:rsidRDefault="00B03043" w:rsidP="00B03043">
      <w:pPr>
        <w:pBdr>
          <w:bottom w:val="double" w:sz="2" w:space="1" w:color="808080"/>
        </w:pBdr>
        <w:spacing w:after="0" w:line="240" w:lineRule="auto"/>
        <w:rPr>
          <w:color w:val="0043A5"/>
          <w:sz w:val="36"/>
          <w:lang w:val="en-US"/>
        </w:rPr>
      </w:pPr>
    </w:p>
    <w:p w14:paraId="0D567C59" w14:textId="77777777" w:rsidR="00B03043" w:rsidRDefault="00B03043" w:rsidP="00B03043">
      <w:pPr>
        <w:jc w:val="center"/>
        <w:rPr>
          <w:b/>
          <w:color w:val="0043A5"/>
          <w:sz w:val="36"/>
        </w:rPr>
      </w:pPr>
      <w:r>
        <w:rPr>
          <w:b/>
          <w:color w:val="0043A5"/>
          <w:sz w:val="36"/>
        </w:rPr>
        <w:t>Marché de maitrise d’œuvre</w:t>
      </w:r>
    </w:p>
    <w:p w14:paraId="49ED1F79" w14:textId="77777777" w:rsidR="00F720D2" w:rsidRPr="00FE18F7" w:rsidRDefault="00F720D2" w:rsidP="00F720D2">
      <w:pPr>
        <w:jc w:val="center"/>
      </w:pPr>
      <w:r>
        <w:rPr>
          <w:rFonts w:ascii="Verdana" w:hAnsi="Verdana" w:cs="Verdana"/>
          <w:b/>
          <w:color w:val="0043A5"/>
          <w:sz w:val="32"/>
        </w:rPr>
        <w:t>Rénovation énergétique des bâtiments BOUGUER et DARCY</w:t>
      </w:r>
    </w:p>
    <w:p w14:paraId="28DD4731" w14:textId="77777777" w:rsidR="00B03043" w:rsidRDefault="00B03043" w:rsidP="00B03043">
      <w:pPr>
        <w:pBdr>
          <w:top w:val="double" w:sz="1" w:space="1" w:color="C0C0C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Calibri" w:hAnsi="Calibri" w:cs="Calibri"/>
          <w:b/>
          <w:bCs/>
          <w:iCs/>
          <w:color w:val="0043A5"/>
          <w:sz w:val="32"/>
          <w:szCs w:val="28"/>
        </w:rPr>
      </w:pPr>
    </w:p>
    <w:p w14:paraId="4C00DB4C" w14:textId="343203AD" w:rsidR="00AF5441" w:rsidRPr="003F748B" w:rsidRDefault="00AF5441" w:rsidP="00AF5441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Verdana" w:hAnsi="Verdana" w:cs="Verdana"/>
          <w:b/>
          <w:bCs/>
          <w:color w:val="0043A5"/>
          <w:sz w:val="36"/>
          <w:szCs w:val="36"/>
        </w:rPr>
        <w:t xml:space="preserve">Marché n° </w:t>
      </w:r>
      <w:r w:rsidR="00B03043" w:rsidRPr="00A011CB">
        <w:rPr>
          <w:rFonts w:ascii="Verdana" w:eastAsia="Verdana" w:hAnsi="Verdana" w:cs="Verdana"/>
          <w:b/>
          <w:bCs/>
          <w:color w:val="0043A5"/>
          <w:sz w:val="36"/>
          <w:szCs w:val="36"/>
        </w:rPr>
        <w:t>202</w:t>
      </w:r>
      <w:r w:rsidR="00585183" w:rsidRPr="00A011CB">
        <w:rPr>
          <w:rFonts w:ascii="Verdana" w:eastAsia="Verdana" w:hAnsi="Verdana" w:cs="Verdana"/>
          <w:b/>
          <w:bCs/>
          <w:color w:val="0043A5"/>
          <w:sz w:val="36"/>
          <w:szCs w:val="36"/>
        </w:rPr>
        <w:t>5</w:t>
      </w:r>
      <w:r w:rsidR="00B03043" w:rsidRPr="00A011CB">
        <w:rPr>
          <w:rFonts w:ascii="Verdana" w:eastAsia="Verdana" w:hAnsi="Verdana" w:cs="Verdana"/>
          <w:b/>
          <w:bCs/>
          <w:color w:val="0043A5"/>
          <w:sz w:val="36"/>
          <w:szCs w:val="36"/>
        </w:rPr>
        <w:t>SERV</w:t>
      </w:r>
      <w:r w:rsidR="00A011CB" w:rsidRPr="00A011CB">
        <w:rPr>
          <w:rFonts w:ascii="Verdana" w:eastAsia="Verdana" w:hAnsi="Verdana" w:cs="Verdana"/>
          <w:b/>
          <w:bCs/>
          <w:color w:val="0043A5"/>
          <w:sz w:val="36"/>
          <w:szCs w:val="36"/>
        </w:rPr>
        <w:t>011</w:t>
      </w:r>
      <w:r w:rsidR="00B03043" w:rsidRPr="00A011CB">
        <w:rPr>
          <w:rFonts w:ascii="Verdana" w:eastAsia="Verdana" w:hAnsi="Verdana" w:cs="Verdana"/>
          <w:b/>
          <w:bCs/>
          <w:color w:val="0043A5"/>
          <w:sz w:val="36"/>
          <w:szCs w:val="36"/>
        </w:rPr>
        <w:t>NTE</w:t>
      </w:r>
    </w:p>
    <w:p w14:paraId="57E9CACD" w14:textId="77777777" w:rsidR="0027193A" w:rsidRDefault="0027193A" w:rsidP="0027193A">
      <w:pPr>
        <w:spacing w:after="0" w:line="240" w:lineRule="auto"/>
        <w:jc w:val="center"/>
        <w:rPr>
          <w:rFonts w:ascii="Verdana" w:hAnsi="Verdana"/>
          <w:b/>
          <w:color w:val="0043A5"/>
          <w:sz w:val="36"/>
        </w:rPr>
      </w:pPr>
    </w:p>
    <w:p w14:paraId="365D78F4" w14:textId="1F44AD48" w:rsidR="006F7B60" w:rsidRDefault="002A53DD" w:rsidP="00525F04">
      <w:pPr>
        <w:jc w:val="center"/>
        <w:rPr>
          <w:sz w:val="52"/>
          <w:szCs w:val="52"/>
        </w:rPr>
      </w:pPr>
      <w:r w:rsidRPr="002A53DD">
        <w:rPr>
          <w:sz w:val="52"/>
          <w:szCs w:val="52"/>
        </w:rPr>
        <w:t>Annexe</w:t>
      </w:r>
      <w:r w:rsidR="001C2937">
        <w:rPr>
          <w:sz w:val="52"/>
          <w:szCs w:val="52"/>
        </w:rPr>
        <w:t xml:space="preserve"> 1</w:t>
      </w:r>
      <w:r w:rsidR="005D27C9">
        <w:rPr>
          <w:sz w:val="52"/>
          <w:szCs w:val="52"/>
        </w:rPr>
        <w:t xml:space="preserve"> </w:t>
      </w:r>
      <w:r w:rsidR="006F7B60">
        <w:rPr>
          <w:sz w:val="52"/>
          <w:szCs w:val="52"/>
        </w:rPr>
        <w:t>à l’acte d’engagement</w:t>
      </w:r>
    </w:p>
    <w:p w14:paraId="3F15EC4B" w14:textId="6BD0B5FF" w:rsidR="002A53DD" w:rsidRPr="00525F04" w:rsidRDefault="00A03A46" w:rsidP="00525F04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</w:t>
      </w:r>
      <w:r w:rsidR="00E847CF">
        <w:rPr>
          <w:sz w:val="52"/>
          <w:szCs w:val="52"/>
        </w:rPr>
        <w:t xml:space="preserve"> d’exécution</w:t>
      </w:r>
    </w:p>
    <w:p w14:paraId="4716E092" w14:textId="77777777" w:rsidR="00D076B2" w:rsidRDefault="00D076B2" w:rsidP="00D076B2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53B22D62" w14:textId="77777777" w:rsidR="00B03043" w:rsidRDefault="00B03043" w:rsidP="00B03043">
      <w:pPr>
        <w:rPr>
          <w:rFonts w:ascii="Arial" w:hAnsi="Arial" w:cs="Arial"/>
        </w:rPr>
      </w:pPr>
      <w:r w:rsidRPr="00CD02A1">
        <w:rPr>
          <w:rFonts w:ascii="Arial" w:hAnsi="Arial" w:cs="Arial"/>
        </w:rPr>
        <w:t>Les délais sont donnés ci-après en jours ouvrés (hors samedis, dimanches et jours fériés)</w:t>
      </w:r>
    </w:p>
    <w:p w14:paraId="7583FB77" w14:textId="77777777" w:rsidR="00B03043" w:rsidRPr="00CD02A1" w:rsidRDefault="00B03043" w:rsidP="00B03043">
      <w:pPr>
        <w:rPr>
          <w:rFonts w:ascii="Arial" w:hAnsi="Arial" w:cs="Arial"/>
        </w:rPr>
      </w:pPr>
    </w:p>
    <w:tbl>
      <w:tblPr>
        <w:tblW w:w="10222" w:type="dxa"/>
        <w:tblInd w:w="-441" w:type="dxa"/>
        <w:tblBorders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4126"/>
      </w:tblGrid>
      <w:tr w:rsidR="00B03043" w:rsidRPr="00CD02A1" w14:paraId="675C9387" w14:textId="77777777" w:rsidTr="000B67A0">
        <w:trPr>
          <w:trHeight w:val="400"/>
        </w:trPr>
        <w:tc>
          <w:tcPr>
            <w:tcW w:w="6096" w:type="dxa"/>
            <w:tcBorders>
              <w:bottom w:val="single" w:sz="6" w:space="0" w:color="auto"/>
            </w:tcBorders>
            <w:vAlign w:val="center"/>
          </w:tcPr>
          <w:p w14:paraId="6352EF87" w14:textId="77777777" w:rsidR="00B03043" w:rsidRPr="00CD02A1" w:rsidRDefault="00B03043" w:rsidP="000B67A0">
            <w:pPr>
              <w:keepNext/>
              <w:ind w:left="142"/>
              <w:rPr>
                <w:rFonts w:ascii="Arial" w:hAnsi="Arial" w:cs="Arial"/>
              </w:rPr>
            </w:pPr>
          </w:p>
        </w:tc>
        <w:tc>
          <w:tcPr>
            <w:tcW w:w="412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FBBEC13" w14:textId="77777777" w:rsidR="00B03043" w:rsidRPr="00CD02A1" w:rsidRDefault="000B67A0" w:rsidP="000B67A0">
            <w:pPr>
              <w:keepNext/>
              <w:jc w:val="center"/>
              <w:rPr>
                <w:rFonts w:ascii="Arial" w:hAnsi="Arial" w:cs="Arial"/>
              </w:rPr>
            </w:pPr>
            <w:r w:rsidRPr="00ED1A6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Dates prévisionnelles</w:t>
            </w:r>
          </w:p>
        </w:tc>
      </w:tr>
      <w:tr w:rsidR="000B67A0" w:rsidRPr="00CD02A1" w14:paraId="70047CA6" w14:textId="77777777" w:rsidTr="000B67A0">
        <w:trPr>
          <w:trHeight w:val="400"/>
        </w:trPr>
        <w:tc>
          <w:tcPr>
            <w:tcW w:w="6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594A158" w14:textId="513CD431" w:rsidR="000B67A0" w:rsidRPr="00CD02A1" w:rsidRDefault="000B67A0" w:rsidP="000B67A0">
            <w:pPr>
              <w:keepNext/>
              <w:ind w:left="142"/>
              <w:rPr>
                <w:rFonts w:ascii="Arial" w:hAnsi="Arial" w:cs="Arial"/>
              </w:rPr>
            </w:pPr>
            <w:r w:rsidRPr="000B67A0">
              <w:rPr>
                <w:rFonts w:ascii="Arial" w:hAnsi="Arial" w:cs="Arial"/>
              </w:rPr>
              <w:t>Études d’av</w:t>
            </w:r>
            <w:r w:rsidR="00FF0BB7">
              <w:rPr>
                <w:rFonts w:ascii="Arial" w:hAnsi="Arial" w:cs="Arial"/>
              </w:rPr>
              <w:t xml:space="preserve">ant-projet et projet </w:t>
            </w:r>
            <w:r w:rsidR="00585183">
              <w:rPr>
                <w:rFonts w:ascii="Arial" w:hAnsi="Arial" w:cs="Arial"/>
              </w:rPr>
              <w:t>(</w:t>
            </w:r>
            <w:r w:rsidR="00FF0BB7">
              <w:rPr>
                <w:rFonts w:ascii="Arial" w:hAnsi="Arial" w:cs="Arial"/>
              </w:rPr>
              <w:t>AP</w:t>
            </w:r>
            <w:r w:rsidR="008F252F">
              <w:rPr>
                <w:rFonts w:ascii="Arial" w:hAnsi="Arial" w:cs="Arial"/>
              </w:rPr>
              <w:t>D</w:t>
            </w:r>
            <w:r w:rsidRPr="000B67A0">
              <w:rPr>
                <w:rFonts w:ascii="Arial" w:hAnsi="Arial" w:cs="Arial"/>
              </w:rPr>
              <w:t>)</w:t>
            </w:r>
          </w:p>
        </w:tc>
        <w:tc>
          <w:tcPr>
            <w:tcW w:w="4126" w:type="dxa"/>
            <w:tcBorders>
              <w:top w:val="single" w:sz="6" w:space="0" w:color="auto"/>
            </w:tcBorders>
            <w:vAlign w:val="center"/>
          </w:tcPr>
          <w:p w14:paraId="11FE9E1D" w14:textId="447FC1DD" w:rsidR="000B67A0" w:rsidRPr="00CD02A1" w:rsidRDefault="000B67A0" w:rsidP="00FF0BB7">
            <w:pPr>
              <w:keepNext/>
              <w:jc w:val="center"/>
              <w:rPr>
                <w:rFonts w:ascii="Arial" w:hAnsi="Arial" w:cs="Arial"/>
              </w:rPr>
            </w:pPr>
            <w:r w:rsidRPr="00CD02A1">
              <w:rPr>
                <w:rFonts w:ascii="Arial" w:hAnsi="Arial" w:cs="Arial"/>
              </w:rPr>
              <w:t xml:space="preserve">T0 + </w:t>
            </w:r>
            <w:r w:rsidR="008F252F" w:rsidRPr="00035673">
              <w:rPr>
                <w:rFonts w:ascii="Arial" w:hAnsi="Arial" w:cs="Arial"/>
              </w:rPr>
              <w:t>5</w:t>
            </w:r>
            <w:r w:rsidR="002F5533">
              <w:rPr>
                <w:rFonts w:ascii="Arial" w:hAnsi="Arial" w:cs="Arial"/>
              </w:rPr>
              <w:t xml:space="preserve"> semaines</w:t>
            </w:r>
          </w:p>
        </w:tc>
      </w:tr>
      <w:tr w:rsidR="00B03043" w:rsidRPr="00CD02A1" w14:paraId="14EEEE6B" w14:textId="77777777" w:rsidTr="000B67A0">
        <w:trPr>
          <w:trHeight w:val="400"/>
        </w:trPr>
        <w:tc>
          <w:tcPr>
            <w:tcW w:w="6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72EDC65" w14:textId="77777777" w:rsidR="00B03043" w:rsidRPr="00CD02A1" w:rsidRDefault="00B03043" w:rsidP="000B67A0">
            <w:pPr>
              <w:keepNext/>
              <w:ind w:left="142"/>
              <w:rPr>
                <w:rFonts w:ascii="Arial" w:hAnsi="Arial" w:cs="Arial"/>
              </w:rPr>
            </w:pPr>
            <w:r w:rsidRPr="00CD02A1">
              <w:rPr>
                <w:rFonts w:ascii="Arial" w:hAnsi="Arial" w:cs="Arial"/>
              </w:rPr>
              <w:t>PRO DCE</w:t>
            </w:r>
          </w:p>
        </w:tc>
        <w:tc>
          <w:tcPr>
            <w:tcW w:w="4126" w:type="dxa"/>
            <w:vAlign w:val="center"/>
          </w:tcPr>
          <w:p w14:paraId="5BCA04B4" w14:textId="77777777" w:rsidR="00B03043" w:rsidRPr="00CD02A1" w:rsidRDefault="00FF0BB7" w:rsidP="000B67A0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Validation PRO/DCE</w:t>
            </w:r>
          </w:p>
          <w:p w14:paraId="70234A86" w14:textId="0A59C3F2" w:rsidR="00B03043" w:rsidRPr="00CD02A1" w:rsidRDefault="00B03043" w:rsidP="00FF0BB7">
            <w:pPr>
              <w:keepNext/>
              <w:jc w:val="center"/>
              <w:rPr>
                <w:rFonts w:ascii="Arial" w:hAnsi="Arial" w:cs="Arial"/>
              </w:rPr>
            </w:pPr>
            <w:r w:rsidRPr="00CD02A1">
              <w:rPr>
                <w:rFonts w:ascii="Arial" w:hAnsi="Arial" w:cs="Arial"/>
              </w:rPr>
              <w:t>+</w:t>
            </w:r>
            <w:r w:rsidR="002F5533">
              <w:rPr>
                <w:rFonts w:ascii="Arial" w:hAnsi="Arial" w:cs="Arial"/>
              </w:rPr>
              <w:t xml:space="preserve"> 8 semaines</w:t>
            </w:r>
            <w:r w:rsidRPr="00CD02A1">
              <w:rPr>
                <w:rFonts w:ascii="Arial" w:hAnsi="Arial" w:cs="Arial"/>
              </w:rPr>
              <w:t xml:space="preserve"> </w:t>
            </w:r>
          </w:p>
        </w:tc>
      </w:tr>
      <w:tr w:rsidR="00B03043" w:rsidRPr="00A1270E" w14:paraId="6BDC0AE1" w14:textId="77777777" w:rsidTr="000B67A0">
        <w:trPr>
          <w:trHeight w:val="400"/>
        </w:trPr>
        <w:tc>
          <w:tcPr>
            <w:tcW w:w="6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D3D3C8A" w14:textId="6F599BA0" w:rsidR="00B03043" w:rsidRPr="00A1270E" w:rsidRDefault="00B03043" w:rsidP="000B67A0">
            <w:pPr>
              <w:keepNext/>
              <w:ind w:left="142"/>
              <w:rPr>
                <w:rFonts w:ascii="Arial" w:hAnsi="Arial" w:cs="Arial"/>
              </w:rPr>
            </w:pPr>
            <w:r w:rsidRPr="00A1270E">
              <w:rPr>
                <w:rFonts w:ascii="Arial" w:hAnsi="Arial" w:cs="Arial"/>
              </w:rPr>
              <w:t>Rapport d'analyse des offres et présentation au maitre d’ouvrage du rapport par le maitre d’œuvre</w:t>
            </w:r>
            <w:r w:rsidR="002F5533">
              <w:rPr>
                <w:rFonts w:ascii="Arial" w:hAnsi="Arial" w:cs="Arial"/>
              </w:rPr>
              <w:t xml:space="preserve"> et participation à la commission des marchés.</w:t>
            </w:r>
          </w:p>
        </w:tc>
        <w:tc>
          <w:tcPr>
            <w:tcW w:w="4126" w:type="dxa"/>
            <w:vAlign w:val="center"/>
          </w:tcPr>
          <w:p w14:paraId="2148406B" w14:textId="6F8E13FA" w:rsidR="00B03043" w:rsidRPr="00A1270E" w:rsidRDefault="002F5533" w:rsidP="000B67A0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B03043" w:rsidRPr="00A1270E">
              <w:rPr>
                <w:rFonts w:ascii="Arial" w:hAnsi="Arial" w:cs="Arial"/>
              </w:rPr>
              <w:t xml:space="preserve"> semaines à partir de la transmission des dossiers des candidatures et des offres au maître d’œuvre</w:t>
            </w:r>
          </w:p>
        </w:tc>
      </w:tr>
      <w:tr w:rsidR="00B03043" w:rsidRPr="00CD02A1" w14:paraId="77CE78BF" w14:textId="77777777" w:rsidTr="000B67A0">
        <w:trPr>
          <w:trHeight w:val="400"/>
        </w:trPr>
        <w:tc>
          <w:tcPr>
            <w:tcW w:w="6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39A5AE9" w14:textId="77777777" w:rsidR="00B03043" w:rsidRPr="00CD02A1" w:rsidRDefault="00B03043" w:rsidP="000B67A0">
            <w:pPr>
              <w:keepNext/>
              <w:ind w:left="142"/>
              <w:rPr>
                <w:rFonts w:ascii="Arial" w:hAnsi="Arial" w:cs="Arial"/>
              </w:rPr>
            </w:pPr>
            <w:r w:rsidRPr="00CD02A1">
              <w:rPr>
                <w:rFonts w:ascii="Arial" w:hAnsi="Arial" w:cs="Arial"/>
              </w:rPr>
              <w:t xml:space="preserve">Mise au point et notification des marchés </w:t>
            </w:r>
          </w:p>
        </w:tc>
        <w:tc>
          <w:tcPr>
            <w:tcW w:w="4126" w:type="dxa"/>
            <w:vAlign w:val="center"/>
          </w:tcPr>
          <w:p w14:paraId="039EA28C" w14:textId="212DE31A" w:rsidR="00B03043" w:rsidRPr="00CD02A1" w:rsidRDefault="002F5533" w:rsidP="000B67A0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B050"/>
              </w:rPr>
              <w:t>2</w:t>
            </w:r>
            <w:r w:rsidR="00D82534">
              <w:rPr>
                <w:rFonts w:ascii="Arial" w:hAnsi="Arial" w:cs="Arial"/>
                <w:color w:val="00B050"/>
              </w:rPr>
              <w:t xml:space="preserve"> semaines</w:t>
            </w:r>
          </w:p>
        </w:tc>
      </w:tr>
      <w:tr w:rsidR="00B03043" w:rsidRPr="00CD02A1" w14:paraId="486A0DF0" w14:textId="77777777" w:rsidTr="000B67A0">
        <w:trPr>
          <w:trHeight w:val="400"/>
        </w:trPr>
        <w:tc>
          <w:tcPr>
            <w:tcW w:w="609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6FB37D0" w14:textId="77777777" w:rsidR="00B03043" w:rsidRPr="00CD02A1" w:rsidRDefault="00B03043" w:rsidP="000B67A0">
            <w:pPr>
              <w:keepNext/>
              <w:ind w:left="142"/>
              <w:rPr>
                <w:rFonts w:ascii="Arial" w:hAnsi="Arial" w:cs="Arial"/>
              </w:rPr>
            </w:pPr>
            <w:r w:rsidRPr="00CD02A1">
              <w:rPr>
                <w:rFonts w:ascii="Arial" w:hAnsi="Arial" w:cs="Arial"/>
              </w:rPr>
              <w:t>Remise du dossier des ouvrages exécutés</w:t>
            </w:r>
          </w:p>
        </w:tc>
        <w:tc>
          <w:tcPr>
            <w:tcW w:w="4126" w:type="dxa"/>
            <w:vAlign w:val="center"/>
          </w:tcPr>
          <w:p w14:paraId="2E990D4A" w14:textId="77777777" w:rsidR="00B03043" w:rsidRDefault="00D82534" w:rsidP="000B67A0">
            <w:pPr>
              <w:keepNext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B050"/>
              </w:rPr>
              <w:t>4 semaines</w:t>
            </w:r>
          </w:p>
          <w:p w14:paraId="409FAAD9" w14:textId="77777777" w:rsidR="00B03043" w:rsidRPr="00CD02A1" w:rsidRDefault="00B03043" w:rsidP="000B67A0">
            <w:pPr>
              <w:keepNext/>
              <w:jc w:val="center"/>
              <w:rPr>
                <w:rFonts w:ascii="Arial" w:hAnsi="Arial" w:cs="Arial"/>
              </w:rPr>
            </w:pPr>
            <w:proofErr w:type="gramStart"/>
            <w:r w:rsidRPr="00CD02A1">
              <w:rPr>
                <w:rFonts w:ascii="Arial" w:hAnsi="Arial" w:cs="Arial"/>
              </w:rPr>
              <w:t>à</w:t>
            </w:r>
            <w:proofErr w:type="gramEnd"/>
            <w:r w:rsidRPr="00CD02A1">
              <w:rPr>
                <w:rFonts w:ascii="Arial" w:hAnsi="Arial" w:cs="Arial"/>
              </w:rPr>
              <w:t xml:space="preserve"> partir de la date du prononcé de réception de l’ouvrage</w:t>
            </w:r>
          </w:p>
        </w:tc>
      </w:tr>
    </w:tbl>
    <w:p w14:paraId="27A5987D" w14:textId="77777777" w:rsidR="00B03043" w:rsidRPr="00CD02A1" w:rsidRDefault="00B03043" w:rsidP="00B03043">
      <w:pPr>
        <w:pStyle w:val="En-tte"/>
        <w:jc w:val="both"/>
        <w:rPr>
          <w:rFonts w:ascii="Arial" w:hAnsi="Arial" w:cs="Arial"/>
        </w:rPr>
      </w:pPr>
    </w:p>
    <w:p w14:paraId="16D7C742" w14:textId="77777777" w:rsidR="00A03A46" w:rsidRPr="00A03A46" w:rsidRDefault="00B03043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A03A46" w:rsidRPr="00A03A46">
        <w:rPr>
          <w:rFonts w:ascii="Arial" w:hAnsi="Arial" w:cs="Arial"/>
        </w:rPr>
        <w:t>0 = notification du marché. La date de notification est la date de réception du marché par le titulaire</w:t>
      </w:r>
      <w:r w:rsidR="00A03A46">
        <w:rPr>
          <w:rFonts w:ascii="Arial" w:hAnsi="Arial" w:cs="Arial"/>
        </w:rPr>
        <w:t>. La notification du marché vaut bon de commande.</w:t>
      </w:r>
    </w:p>
    <w:sectPr w:rsidR="00A03A46" w:rsidRPr="00A03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0E57D" w14:textId="77777777" w:rsidR="003C2B24" w:rsidRDefault="003C2B24" w:rsidP="002A53DD">
      <w:pPr>
        <w:spacing w:after="0" w:line="240" w:lineRule="auto"/>
      </w:pPr>
      <w:r>
        <w:separator/>
      </w:r>
    </w:p>
  </w:endnote>
  <w:endnote w:type="continuationSeparator" w:id="0">
    <w:p w14:paraId="76F0444C" w14:textId="77777777" w:rsidR="003C2B24" w:rsidRDefault="003C2B24" w:rsidP="002A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FDADF" w14:textId="77777777" w:rsidR="003C2B24" w:rsidRDefault="003C2B24" w:rsidP="002A53DD">
      <w:pPr>
        <w:spacing w:after="0" w:line="240" w:lineRule="auto"/>
      </w:pPr>
      <w:r>
        <w:separator/>
      </w:r>
    </w:p>
  </w:footnote>
  <w:footnote w:type="continuationSeparator" w:id="0">
    <w:p w14:paraId="0CBED74E" w14:textId="77777777" w:rsidR="003C2B24" w:rsidRDefault="003C2B24" w:rsidP="002A53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EAB"/>
    <w:rsid w:val="00030BFA"/>
    <w:rsid w:val="00035673"/>
    <w:rsid w:val="00042340"/>
    <w:rsid w:val="000B67A0"/>
    <w:rsid w:val="000F6D55"/>
    <w:rsid w:val="001B6259"/>
    <w:rsid w:val="001C2937"/>
    <w:rsid w:val="002062FF"/>
    <w:rsid w:val="002651B8"/>
    <w:rsid w:val="00266AB4"/>
    <w:rsid w:val="0027193A"/>
    <w:rsid w:val="00281A4B"/>
    <w:rsid w:val="00283DF3"/>
    <w:rsid w:val="00285595"/>
    <w:rsid w:val="002A53DD"/>
    <w:rsid w:val="002D2907"/>
    <w:rsid w:val="002D6EAB"/>
    <w:rsid w:val="002D7F61"/>
    <w:rsid w:val="002F5533"/>
    <w:rsid w:val="00350E1F"/>
    <w:rsid w:val="003633D6"/>
    <w:rsid w:val="0037202E"/>
    <w:rsid w:val="003C2B24"/>
    <w:rsid w:val="003F69A7"/>
    <w:rsid w:val="00454499"/>
    <w:rsid w:val="0051702D"/>
    <w:rsid w:val="00525F04"/>
    <w:rsid w:val="005554F9"/>
    <w:rsid w:val="00573CC4"/>
    <w:rsid w:val="00585183"/>
    <w:rsid w:val="005C708A"/>
    <w:rsid w:val="005D27C9"/>
    <w:rsid w:val="005D782D"/>
    <w:rsid w:val="005E751B"/>
    <w:rsid w:val="0063460F"/>
    <w:rsid w:val="0067510A"/>
    <w:rsid w:val="00677334"/>
    <w:rsid w:val="00692B0D"/>
    <w:rsid w:val="006B0977"/>
    <w:rsid w:val="006F7B60"/>
    <w:rsid w:val="0074243A"/>
    <w:rsid w:val="0089392E"/>
    <w:rsid w:val="0089436E"/>
    <w:rsid w:val="008F252F"/>
    <w:rsid w:val="00900FAF"/>
    <w:rsid w:val="00935156"/>
    <w:rsid w:val="00A011CB"/>
    <w:rsid w:val="00A03A46"/>
    <w:rsid w:val="00A06E59"/>
    <w:rsid w:val="00A114C4"/>
    <w:rsid w:val="00A51760"/>
    <w:rsid w:val="00AE5984"/>
    <w:rsid w:val="00AE5E12"/>
    <w:rsid w:val="00AE5EBC"/>
    <w:rsid w:val="00AF5441"/>
    <w:rsid w:val="00B03043"/>
    <w:rsid w:val="00B53F65"/>
    <w:rsid w:val="00B944A9"/>
    <w:rsid w:val="00BA56C2"/>
    <w:rsid w:val="00BB0ACA"/>
    <w:rsid w:val="00BD6227"/>
    <w:rsid w:val="00C924F7"/>
    <w:rsid w:val="00CD6115"/>
    <w:rsid w:val="00D076B2"/>
    <w:rsid w:val="00D82534"/>
    <w:rsid w:val="00DA232D"/>
    <w:rsid w:val="00DC19C0"/>
    <w:rsid w:val="00E03E76"/>
    <w:rsid w:val="00E47B50"/>
    <w:rsid w:val="00E847CF"/>
    <w:rsid w:val="00EC069B"/>
    <w:rsid w:val="00EC7F44"/>
    <w:rsid w:val="00ED0042"/>
    <w:rsid w:val="00F12490"/>
    <w:rsid w:val="00F720D2"/>
    <w:rsid w:val="00FF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B38B"/>
  <w15:docId w15:val="{C868D67A-54C1-4C90-AC64-5C5FA510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aliases w:val="h2,l2,TitreProp,2,1st level heading,level 2 no toc,A,2nd level,Titre2,Header 2,Chapter Title,A.B.C.,1.1,H2"/>
    <w:basedOn w:val="Normal"/>
    <w:next w:val="Normal"/>
    <w:link w:val="Titre2Car"/>
    <w:uiPriority w:val="9"/>
    <w:unhideWhenUsed/>
    <w:qFormat/>
    <w:rsid w:val="00D076B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.e"/>
    <w:basedOn w:val="Normal"/>
    <w:link w:val="En-tteCar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.e Car"/>
    <w:basedOn w:val="Policepardfaut"/>
    <w:link w:val="En-tte"/>
    <w:rsid w:val="002A53DD"/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table" w:styleId="Grilledutableau">
    <w:name w:val="Table Grid"/>
    <w:basedOn w:val="TableauNormal"/>
    <w:uiPriority w:val="59"/>
    <w:rsid w:val="002A5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454499"/>
    <w:pPr>
      <w:numPr>
        <w:ilvl w:val="1"/>
      </w:numPr>
      <w:spacing w:line="240" w:lineRule="auto"/>
      <w:jc w:val="center"/>
    </w:pPr>
    <w:rPr>
      <w:rFonts w:ascii="Verdana" w:eastAsiaTheme="majorEastAsia" w:hAnsi="Verdana" w:cstheme="majorBidi"/>
      <w:b/>
      <w:iCs/>
      <w:spacing w:val="15"/>
      <w:sz w:val="28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54499"/>
    <w:rPr>
      <w:rFonts w:ascii="Verdana" w:eastAsiaTheme="majorEastAsia" w:hAnsi="Verdana" w:cstheme="majorBidi"/>
      <w:b/>
      <w:iCs/>
      <w:spacing w:val="15"/>
      <w:sz w:val="28"/>
      <w:szCs w:val="24"/>
    </w:rPr>
  </w:style>
  <w:style w:type="character" w:styleId="Lienhypertexte">
    <w:name w:val="Hyperlink"/>
    <w:basedOn w:val="Policepardfaut"/>
    <w:uiPriority w:val="99"/>
    <w:rsid w:val="0027193A"/>
    <w:rPr>
      <w:rFonts w:cs="Times New Roman"/>
      <w:color w:val="0000FF"/>
      <w:u w:val="single"/>
    </w:rPr>
  </w:style>
  <w:style w:type="paragraph" w:customStyle="1" w:styleId="Projintranetinfoheader">
    <w:name w:val="Proj_intranet_info_header"/>
    <w:basedOn w:val="Normal"/>
    <w:uiPriority w:val="99"/>
    <w:rsid w:val="0027193A"/>
    <w:pPr>
      <w:widowControl w:val="0"/>
      <w:pBdr>
        <w:top w:val="single" w:sz="8" w:space="1" w:color="00FFFF"/>
      </w:pBdr>
      <w:suppressAutoHyphens/>
      <w:spacing w:after="0" w:line="240" w:lineRule="auto"/>
      <w:jc w:val="both"/>
    </w:pPr>
    <w:rPr>
      <w:rFonts w:ascii="Arial" w:eastAsia="Times New Roman" w:hAnsi="Arial" w:cs="Arial"/>
      <w:sz w:val="18"/>
      <w:szCs w:val="24"/>
      <w:lang w:val="en-GB" w:eastAsia="ar-SA"/>
    </w:rPr>
  </w:style>
  <w:style w:type="character" w:customStyle="1" w:styleId="Titre2Car">
    <w:name w:val="Titre 2 Car"/>
    <w:aliases w:val="h2 Car,l2 Car,TitreProp Car,2 Car,1st level heading Car,level 2 no toc Car,A Car,2nd level Car,Titre2 Car,Header 2 Car,Chapter Title Car,A.B.C. Car,1.1 Car,H2 Car"/>
    <w:basedOn w:val="Policepardfaut"/>
    <w:link w:val="Titre2"/>
    <w:uiPriority w:val="9"/>
    <w:rsid w:val="00D076B2"/>
    <w:rPr>
      <w:rFonts w:asciiTheme="majorHAnsi" w:eastAsiaTheme="majorEastAsia" w:hAnsiTheme="majorHAnsi" w:cstheme="majorBidi"/>
      <w:color w:val="404040" w:themeColor="text1" w:themeTint="BF"/>
      <w:sz w:val="24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F720D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720D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720D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20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20D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2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2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NEDELLEC Nathalie</cp:lastModifiedBy>
  <cp:revision>19</cp:revision>
  <cp:lastPrinted>2017-02-22T15:43:00Z</cp:lastPrinted>
  <dcterms:created xsi:type="dcterms:W3CDTF">2020-10-27T06:31:00Z</dcterms:created>
  <dcterms:modified xsi:type="dcterms:W3CDTF">2025-09-22T11:59:00Z</dcterms:modified>
</cp:coreProperties>
</file>